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C2" w:rsidRPr="00CD38B5" w:rsidRDefault="00F01DC2" w:rsidP="00964E9B">
      <w:p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VMNH Board of Trustees Education and Public Programs Committee</w:t>
      </w:r>
    </w:p>
    <w:p w:rsidR="00F01DC2" w:rsidRDefault="008313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20</w:t>
      </w:r>
      <w:r w:rsidR="00F01DC2" w:rsidRPr="00CD38B5">
        <w:rPr>
          <w:rFonts w:ascii="Arial" w:hAnsi="Arial" w:cs="Arial"/>
          <w:sz w:val="24"/>
          <w:szCs w:val="24"/>
        </w:rPr>
        <w:t>, 20</w:t>
      </w:r>
      <w:r w:rsidR="0019218C" w:rsidRPr="00CD38B5">
        <w:rPr>
          <w:rFonts w:ascii="Arial" w:hAnsi="Arial" w:cs="Arial"/>
          <w:sz w:val="24"/>
          <w:szCs w:val="24"/>
        </w:rPr>
        <w:t>2</w:t>
      </w:r>
      <w:r w:rsidR="00A93910" w:rsidRPr="00CD38B5">
        <w:rPr>
          <w:rFonts w:ascii="Arial" w:hAnsi="Arial" w:cs="Arial"/>
          <w:sz w:val="24"/>
          <w:szCs w:val="24"/>
        </w:rPr>
        <w:t>1</w:t>
      </w:r>
      <w:r w:rsidR="00F01DC2" w:rsidRPr="00CD38B5">
        <w:rPr>
          <w:rFonts w:ascii="Arial" w:hAnsi="Arial" w:cs="Arial"/>
          <w:sz w:val="24"/>
          <w:szCs w:val="24"/>
        </w:rPr>
        <w:t xml:space="preserve">, </w:t>
      </w:r>
      <w:r w:rsidR="001A6861">
        <w:rPr>
          <w:rFonts w:ascii="Arial" w:hAnsi="Arial" w:cs="Arial"/>
          <w:sz w:val="24"/>
          <w:szCs w:val="24"/>
        </w:rPr>
        <w:t>9:00</w:t>
      </w:r>
      <w:r w:rsidR="00573CF4">
        <w:rPr>
          <w:rFonts w:ascii="Arial" w:hAnsi="Arial" w:cs="Arial"/>
          <w:sz w:val="24"/>
          <w:szCs w:val="24"/>
        </w:rPr>
        <w:t xml:space="preserve"> </w:t>
      </w:r>
      <w:r w:rsidR="005F7399">
        <w:rPr>
          <w:rFonts w:ascii="Arial" w:hAnsi="Arial" w:cs="Arial"/>
          <w:sz w:val="24"/>
          <w:szCs w:val="24"/>
        </w:rPr>
        <w:t>a</w:t>
      </w:r>
      <w:r w:rsidR="00573CF4">
        <w:rPr>
          <w:rFonts w:ascii="Arial" w:hAnsi="Arial" w:cs="Arial"/>
          <w:sz w:val="24"/>
          <w:szCs w:val="24"/>
        </w:rPr>
        <w:t>.m.</w:t>
      </w:r>
      <w:r w:rsidR="00B166DC" w:rsidRPr="00CD38B5">
        <w:rPr>
          <w:rFonts w:ascii="Arial" w:hAnsi="Arial" w:cs="Arial"/>
          <w:sz w:val="24"/>
          <w:szCs w:val="24"/>
        </w:rPr>
        <w:t xml:space="preserve"> </w:t>
      </w:r>
      <w:r w:rsidR="003C6B8F">
        <w:rPr>
          <w:rFonts w:ascii="Arial" w:hAnsi="Arial" w:cs="Arial"/>
          <w:sz w:val="24"/>
          <w:szCs w:val="24"/>
        </w:rPr>
        <w:t>in Distance Learning</w:t>
      </w:r>
      <w:r w:rsidR="001A6861">
        <w:rPr>
          <w:rFonts w:ascii="Arial" w:hAnsi="Arial" w:cs="Arial"/>
          <w:sz w:val="24"/>
          <w:szCs w:val="24"/>
        </w:rPr>
        <w:t xml:space="preserve"> Classroom</w:t>
      </w:r>
    </w:p>
    <w:p w:rsidR="003C6B8F" w:rsidRDefault="003C6B8F" w:rsidP="003C6B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members present: Cord </w:t>
      </w:r>
      <w:proofErr w:type="spellStart"/>
      <w:r>
        <w:rPr>
          <w:rFonts w:ascii="Arial" w:hAnsi="Arial" w:cs="Arial"/>
          <w:sz w:val="24"/>
          <w:szCs w:val="24"/>
        </w:rPr>
        <w:t>Cothren</w:t>
      </w:r>
      <w:proofErr w:type="spellEnd"/>
      <w:r>
        <w:rPr>
          <w:rFonts w:ascii="Arial" w:hAnsi="Arial" w:cs="Arial"/>
          <w:sz w:val="24"/>
          <w:szCs w:val="24"/>
        </w:rPr>
        <w:t xml:space="preserve"> (chair), Joan Montgomery (foundation), Nathan Sanford</w:t>
      </w:r>
      <w:r w:rsidRPr="003C6B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via Zoom</w:t>
      </w:r>
      <w:r>
        <w:rPr>
          <w:rFonts w:ascii="Arial" w:hAnsi="Arial" w:cs="Arial"/>
          <w:sz w:val="24"/>
          <w:szCs w:val="24"/>
        </w:rPr>
        <w:t>)</w:t>
      </w:r>
    </w:p>
    <w:p w:rsidR="003C6B8F" w:rsidRDefault="003C6B8F" w:rsidP="003C6B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members absent: </w:t>
      </w:r>
      <w:proofErr w:type="spellStart"/>
      <w:r>
        <w:rPr>
          <w:rFonts w:ascii="Arial" w:hAnsi="Arial" w:cs="Arial"/>
          <w:sz w:val="24"/>
          <w:szCs w:val="24"/>
        </w:rPr>
        <w:t>Makunda</w:t>
      </w:r>
      <w:proofErr w:type="spellEnd"/>
      <w:r>
        <w:rPr>
          <w:rFonts w:ascii="Arial" w:hAnsi="Arial" w:cs="Arial"/>
          <w:sz w:val="24"/>
          <w:szCs w:val="24"/>
        </w:rPr>
        <w:t xml:space="preserve"> Abdul-</w:t>
      </w:r>
      <w:proofErr w:type="spellStart"/>
      <w:r>
        <w:rPr>
          <w:rFonts w:ascii="Arial" w:hAnsi="Arial" w:cs="Arial"/>
          <w:sz w:val="24"/>
          <w:szCs w:val="24"/>
        </w:rPr>
        <w:t>Mbacke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C6B8F" w:rsidRPr="00CD38B5" w:rsidRDefault="003C6B8F" w:rsidP="003C6B8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Present: Christy Deatherage </w:t>
      </w:r>
    </w:p>
    <w:p w:rsidR="002300B2" w:rsidRPr="00CD38B5" w:rsidRDefault="002300B2" w:rsidP="00D41764">
      <w:pPr>
        <w:spacing w:line="240" w:lineRule="auto"/>
        <w:rPr>
          <w:rFonts w:ascii="Arial" w:hAnsi="Arial" w:cs="Arial"/>
          <w:sz w:val="24"/>
          <w:szCs w:val="24"/>
        </w:rPr>
      </w:pPr>
    </w:p>
    <w:p w:rsidR="00796831" w:rsidRPr="00796831" w:rsidRDefault="002300B2" w:rsidP="007968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Welcome</w:t>
      </w:r>
      <w:r w:rsidR="00A879B2" w:rsidRPr="00CD38B5">
        <w:rPr>
          <w:rFonts w:ascii="Arial" w:hAnsi="Arial" w:cs="Arial"/>
          <w:sz w:val="24"/>
          <w:szCs w:val="24"/>
        </w:rPr>
        <w:t xml:space="preserve"> and introductions </w:t>
      </w:r>
    </w:p>
    <w:p w:rsidR="002300B2" w:rsidRPr="00CD38B5" w:rsidRDefault="00796831" w:rsidP="002300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was briefed on e</w:t>
      </w:r>
      <w:r w:rsidR="002300B2" w:rsidRPr="00CD38B5">
        <w:rPr>
          <w:rFonts w:ascii="Arial" w:hAnsi="Arial" w:cs="Arial"/>
          <w:sz w:val="24"/>
          <w:szCs w:val="24"/>
        </w:rPr>
        <w:t xml:space="preserve">ducation </w:t>
      </w:r>
      <w:r>
        <w:rPr>
          <w:rFonts w:ascii="Arial" w:hAnsi="Arial" w:cs="Arial"/>
          <w:sz w:val="24"/>
          <w:szCs w:val="24"/>
        </w:rPr>
        <w:t>u</w:t>
      </w:r>
      <w:r w:rsidR="002300B2" w:rsidRPr="00CD38B5">
        <w:rPr>
          <w:rFonts w:ascii="Arial" w:hAnsi="Arial" w:cs="Arial"/>
          <w:sz w:val="24"/>
          <w:szCs w:val="24"/>
        </w:rPr>
        <w:t>pdates-</w:t>
      </w:r>
    </w:p>
    <w:p w:rsidR="008E669A" w:rsidRPr="00CD38B5" w:rsidRDefault="00601955" w:rsidP="008E669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Quarterly updates- (see table below)</w:t>
      </w:r>
      <w:r w:rsidR="00796831">
        <w:rPr>
          <w:rFonts w:ascii="Arial" w:hAnsi="Arial" w:cs="Arial"/>
          <w:sz w:val="24"/>
          <w:szCs w:val="24"/>
        </w:rPr>
        <w:t xml:space="preserve"> Program numbers and numbers served </w:t>
      </w:r>
      <w:proofErr w:type="gramStart"/>
      <w:r w:rsidR="00AA7989">
        <w:rPr>
          <w:rFonts w:ascii="Arial" w:hAnsi="Arial" w:cs="Arial"/>
          <w:sz w:val="24"/>
          <w:szCs w:val="24"/>
        </w:rPr>
        <w:t>were discussed</w:t>
      </w:r>
      <w:proofErr w:type="gramEnd"/>
      <w:r w:rsidR="00AA7989">
        <w:rPr>
          <w:rFonts w:ascii="Arial" w:hAnsi="Arial" w:cs="Arial"/>
          <w:sz w:val="24"/>
          <w:szCs w:val="24"/>
        </w:rPr>
        <w:t xml:space="preserve"> </w:t>
      </w:r>
      <w:r w:rsidR="00796831">
        <w:rPr>
          <w:rFonts w:ascii="Arial" w:hAnsi="Arial" w:cs="Arial"/>
          <w:sz w:val="24"/>
          <w:szCs w:val="24"/>
        </w:rPr>
        <w:t>for July-September.</w:t>
      </w:r>
    </w:p>
    <w:p w:rsidR="00CF205E" w:rsidRPr="00CF205E" w:rsidRDefault="00CF205E" w:rsidP="00CF205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At-the Museum </w:t>
      </w:r>
      <w:proofErr w:type="gramStart"/>
      <w:r>
        <w:rPr>
          <w:rFonts w:ascii="Arial" w:hAnsi="Arial" w:cs="Arial"/>
          <w:sz w:val="24"/>
          <w:szCs w:val="24"/>
        </w:rPr>
        <w:t>highlights: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31036">
        <w:rPr>
          <w:rFonts w:ascii="Arial" w:hAnsi="Arial" w:cs="Arial"/>
          <w:sz w:val="24"/>
          <w:szCs w:val="24"/>
        </w:rPr>
        <w:t xml:space="preserve">Summer Camp recap (4 camps, </w:t>
      </w:r>
      <w:r w:rsidR="00224FC6">
        <w:rPr>
          <w:rFonts w:ascii="Arial" w:hAnsi="Arial" w:cs="Arial"/>
          <w:sz w:val="24"/>
          <w:szCs w:val="24"/>
        </w:rPr>
        <w:t>34 total campers</w:t>
      </w:r>
      <w:r w:rsidR="00331036">
        <w:rPr>
          <w:rFonts w:ascii="Arial" w:hAnsi="Arial" w:cs="Arial"/>
          <w:sz w:val="24"/>
          <w:szCs w:val="24"/>
        </w:rPr>
        <w:t>), Bug Day educational activities</w:t>
      </w:r>
      <w:r w:rsidR="00AB4DA3">
        <w:rPr>
          <w:rFonts w:ascii="Arial" w:hAnsi="Arial" w:cs="Arial"/>
          <w:sz w:val="24"/>
          <w:szCs w:val="24"/>
        </w:rPr>
        <w:t xml:space="preserve"> (July). We conducted our first </w:t>
      </w:r>
      <w:r w:rsidR="00012013">
        <w:rPr>
          <w:rFonts w:ascii="Arial" w:hAnsi="Arial" w:cs="Arial"/>
          <w:sz w:val="24"/>
          <w:szCs w:val="24"/>
        </w:rPr>
        <w:t xml:space="preserve">Scout Sleepover </w:t>
      </w:r>
      <w:r w:rsidR="00AB4DA3">
        <w:rPr>
          <w:rFonts w:ascii="Arial" w:hAnsi="Arial" w:cs="Arial"/>
          <w:sz w:val="24"/>
          <w:szCs w:val="24"/>
        </w:rPr>
        <w:t>(</w:t>
      </w:r>
      <w:r w:rsidR="00012013">
        <w:rPr>
          <w:rFonts w:ascii="Arial" w:hAnsi="Arial" w:cs="Arial"/>
          <w:sz w:val="24"/>
          <w:szCs w:val="24"/>
        </w:rPr>
        <w:t>from Eastern Shore</w:t>
      </w:r>
      <w:r w:rsidR="00AB4DA3">
        <w:rPr>
          <w:rFonts w:ascii="Arial" w:hAnsi="Arial" w:cs="Arial"/>
          <w:sz w:val="24"/>
          <w:szCs w:val="24"/>
        </w:rPr>
        <w:t xml:space="preserve"> area) since COVID in August, and more sleepovers </w:t>
      </w:r>
      <w:proofErr w:type="gramStart"/>
      <w:r w:rsidR="00AB4DA3">
        <w:rPr>
          <w:rFonts w:ascii="Arial" w:hAnsi="Arial" w:cs="Arial"/>
          <w:sz w:val="24"/>
          <w:szCs w:val="24"/>
        </w:rPr>
        <w:t>are scheduled</w:t>
      </w:r>
      <w:proofErr w:type="gramEnd"/>
      <w:r w:rsidR="00AB4DA3">
        <w:rPr>
          <w:rFonts w:ascii="Arial" w:hAnsi="Arial" w:cs="Arial"/>
          <w:sz w:val="24"/>
          <w:szCs w:val="24"/>
        </w:rPr>
        <w:t xml:space="preserve"> for after the first of the year.</w:t>
      </w:r>
      <w:r w:rsidR="00CC7E8C">
        <w:rPr>
          <w:rFonts w:ascii="Arial" w:hAnsi="Arial" w:cs="Arial"/>
          <w:sz w:val="24"/>
          <w:szCs w:val="24"/>
        </w:rPr>
        <w:t xml:space="preserve"> </w:t>
      </w:r>
      <w:r w:rsidR="00AB4DA3">
        <w:rPr>
          <w:rFonts w:ascii="Arial" w:hAnsi="Arial" w:cs="Arial"/>
          <w:sz w:val="24"/>
          <w:szCs w:val="24"/>
        </w:rPr>
        <w:t xml:space="preserve">We kicked off our </w:t>
      </w:r>
      <w:r w:rsidR="00CC7E8C">
        <w:rPr>
          <w:rFonts w:ascii="Arial" w:hAnsi="Arial" w:cs="Arial"/>
          <w:sz w:val="24"/>
          <w:szCs w:val="24"/>
        </w:rPr>
        <w:t xml:space="preserve">Homeschool </w:t>
      </w:r>
      <w:r w:rsidR="00AB4DA3">
        <w:rPr>
          <w:rFonts w:ascii="Arial" w:hAnsi="Arial" w:cs="Arial"/>
          <w:sz w:val="24"/>
          <w:szCs w:val="24"/>
        </w:rPr>
        <w:t xml:space="preserve">year with an </w:t>
      </w:r>
      <w:r w:rsidR="00CC7E8C">
        <w:rPr>
          <w:rFonts w:ascii="Arial" w:hAnsi="Arial" w:cs="Arial"/>
          <w:sz w:val="24"/>
          <w:szCs w:val="24"/>
        </w:rPr>
        <w:t>Open House</w:t>
      </w:r>
      <w:r w:rsidR="00AB4DA3">
        <w:rPr>
          <w:rFonts w:ascii="Arial" w:hAnsi="Arial" w:cs="Arial"/>
          <w:sz w:val="24"/>
          <w:szCs w:val="24"/>
        </w:rPr>
        <w:t xml:space="preserve"> in August as a preview of this year’s curriculum.</w:t>
      </w:r>
      <w:r w:rsidR="00CC7E8C">
        <w:rPr>
          <w:rFonts w:ascii="Arial" w:hAnsi="Arial" w:cs="Arial"/>
          <w:sz w:val="24"/>
          <w:szCs w:val="24"/>
        </w:rPr>
        <w:t xml:space="preserve"> </w:t>
      </w:r>
    </w:p>
    <w:p w:rsidR="00CF205E" w:rsidRDefault="00CF205E" w:rsidP="008E669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Outreach hi</w:t>
      </w:r>
      <w:r w:rsidR="00AA7856">
        <w:rPr>
          <w:rFonts w:ascii="Arial" w:hAnsi="Arial" w:cs="Arial"/>
          <w:sz w:val="24"/>
          <w:szCs w:val="24"/>
        </w:rPr>
        <w:t>ghlights –</w:t>
      </w:r>
      <w:r w:rsidR="00AB4DA3">
        <w:rPr>
          <w:rFonts w:ascii="Arial" w:hAnsi="Arial" w:cs="Arial"/>
          <w:sz w:val="24"/>
          <w:szCs w:val="24"/>
        </w:rPr>
        <w:t xml:space="preserve">The education department offered in person programing for the </w:t>
      </w:r>
      <w:r w:rsidR="00331036">
        <w:rPr>
          <w:rFonts w:ascii="Arial" w:hAnsi="Arial" w:cs="Arial"/>
          <w:sz w:val="24"/>
          <w:szCs w:val="24"/>
        </w:rPr>
        <w:t xml:space="preserve">MHC </w:t>
      </w:r>
      <w:proofErr w:type="gramStart"/>
      <w:r w:rsidR="00331036">
        <w:rPr>
          <w:rFonts w:ascii="Arial" w:hAnsi="Arial" w:cs="Arial"/>
          <w:sz w:val="24"/>
          <w:szCs w:val="24"/>
        </w:rPr>
        <w:t>After</w:t>
      </w:r>
      <w:proofErr w:type="gramEnd"/>
      <w:r w:rsidR="00331036">
        <w:rPr>
          <w:rFonts w:ascii="Arial" w:hAnsi="Arial" w:cs="Arial"/>
          <w:sz w:val="24"/>
          <w:szCs w:val="24"/>
        </w:rPr>
        <w:t xml:space="preserve"> 3</w:t>
      </w:r>
      <w:r w:rsidR="00AB4DA3">
        <w:rPr>
          <w:rFonts w:ascii="Arial" w:hAnsi="Arial" w:cs="Arial"/>
          <w:sz w:val="24"/>
          <w:szCs w:val="24"/>
        </w:rPr>
        <w:t xml:space="preserve"> program (Martinsville/Henry County afterschool program)</w:t>
      </w:r>
      <w:r w:rsidR="00331036">
        <w:rPr>
          <w:rFonts w:ascii="Arial" w:hAnsi="Arial" w:cs="Arial"/>
          <w:sz w:val="24"/>
          <w:szCs w:val="24"/>
        </w:rPr>
        <w:t xml:space="preserve">, </w:t>
      </w:r>
      <w:r w:rsidR="00AB4DA3">
        <w:rPr>
          <w:rFonts w:ascii="Arial" w:hAnsi="Arial" w:cs="Arial"/>
          <w:sz w:val="24"/>
          <w:szCs w:val="24"/>
        </w:rPr>
        <w:t>local and surrounding area l</w:t>
      </w:r>
      <w:r w:rsidR="00331036">
        <w:rPr>
          <w:rFonts w:ascii="Arial" w:hAnsi="Arial" w:cs="Arial"/>
          <w:sz w:val="24"/>
          <w:szCs w:val="24"/>
        </w:rPr>
        <w:t>ibrar</w:t>
      </w:r>
      <w:r w:rsidR="00AB4DA3">
        <w:rPr>
          <w:rFonts w:ascii="Arial" w:hAnsi="Arial" w:cs="Arial"/>
          <w:sz w:val="24"/>
          <w:szCs w:val="24"/>
        </w:rPr>
        <w:t>ies</w:t>
      </w:r>
      <w:r w:rsidR="00331036">
        <w:rPr>
          <w:rFonts w:ascii="Arial" w:hAnsi="Arial" w:cs="Arial"/>
          <w:sz w:val="24"/>
          <w:szCs w:val="24"/>
        </w:rPr>
        <w:t xml:space="preserve">, and </w:t>
      </w:r>
      <w:r w:rsidR="00AB4DA3">
        <w:rPr>
          <w:rFonts w:ascii="Arial" w:hAnsi="Arial" w:cs="Arial"/>
          <w:sz w:val="24"/>
          <w:szCs w:val="24"/>
        </w:rPr>
        <w:t xml:space="preserve">the local </w:t>
      </w:r>
      <w:r w:rsidR="00331036">
        <w:rPr>
          <w:rFonts w:ascii="Arial" w:hAnsi="Arial" w:cs="Arial"/>
          <w:sz w:val="24"/>
          <w:szCs w:val="24"/>
        </w:rPr>
        <w:t>Boys and Girls Club</w:t>
      </w:r>
      <w:r w:rsidR="00AB4DA3">
        <w:rPr>
          <w:rFonts w:ascii="Arial" w:hAnsi="Arial" w:cs="Arial"/>
          <w:sz w:val="24"/>
          <w:szCs w:val="24"/>
        </w:rPr>
        <w:t xml:space="preserve"> sites.</w:t>
      </w:r>
      <w:r w:rsidR="00331036">
        <w:rPr>
          <w:rFonts w:ascii="Arial" w:hAnsi="Arial" w:cs="Arial"/>
          <w:sz w:val="24"/>
          <w:szCs w:val="24"/>
        </w:rPr>
        <w:t xml:space="preserve"> </w:t>
      </w:r>
      <w:r w:rsidR="00AB4DA3">
        <w:rPr>
          <w:rFonts w:ascii="Arial" w:hAnsi="Arial" w:cs="Arial"/>
          <w:sz w:val="24"/>
          <w:szCs w:val="24"/>
        </w:rPr>
        <w:t xml:space="preserve">One of our </w:t>
      </w:r>
      <w:r w:rsidR="00331036">
        <w:rPr>
          <w:rFonts w:ascii="Arial" w:hAnsi="Arial" w:cs="Arial"/>
          <w:sz w:val="24"/>
          <w:szCs w:val="24"/>
        </w:rPr>
        <w:t>Charlottesville educator</w:t>
      </w:r>
      <w:r w:rsidR="00AB4DA3">
        <w:rPr>
          <w:rFonts w:ascii="Arial" w:hAnsi="Arial" w:cs="Arial"/>
          <w:sz w:val="24"/>
          <w:szCs w:val="24"/>
        </w:rPr>
        <w:t>s</w:t>
      </w:r>
      <w:r w:rsidR="00331036">
        <w:rPr>
          <w:rFonts w:ascii="Arial" w:hAnsi="Arial" w:cs="Arial"/>
          <w:sz w:val="24"/>
          <w:szCs w:val="24"/>
        </w:rPr>
        <w:t xml:space="preserve"> </w:t>
      </w:r>
      <w:r w:rsidR="00AB4DA3">
        <w:rPr>
          <w:rFonts w:ascii="Arial" w:hAnsi="Arial" w:cs="Arial"/>
          <w:sz w:val="24"/>
          <w:szCs w:val="24"/>
        </w:rPr>
        <w:t>provided in-person program for the Waynesboro YMCA summer campers.</w:t>
      </w:r>
    </w:p>
    <w:p w:rsidR="00993963" w:rsidRDefault="00CF205E" w:rsidP="008E669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Distance Learning </w:t>
      </w:r>
      <w:r w:rsidR="00F608B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B4DA3">
        <w:rPr>
          <w:rFonts w:ascii="Arial" w:hAnsi="Arial" w:cs="Arial"/>
          <w:sz w:val="24"/>
          <w:szCs w:val="24"/>
        </w:rPr>
        <w:t>Department staff took this time to review and e</w:t>
      </w:r>
      <w:r w:rsidR="00CC7E8C">
        <w:rPr>
          <w:rFonts w:ascii="Arial" w:hAnsi="Arial" w:cs="Arial"/>
          <w:sz w:val="24"/>
          <w:szCs w:val="24"/>
        </w:rPr>
        <w:t xml:space="preserve">valuate </w:t>
      </w:r>
      <w:r w:rsidR="00AB4DA3">
        <w:rPr>
          <w:rFonts w:ascii="Arial" w:hAnsi="Arial" w:cs="Arial"/>
          <w:sz w:val="24"/>
          <w:szCs w:val="24"/>
        </w:rPr>
        <w:t>our distance learning programs, making adjustments and updating our marketing material.</w:t>
      </w:r>
    </w:p>
    <w:p w:rsidR="00CC7E8C" w:rsidRDefault="00331036" w:rsidP="00CC7E8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 Media/Website – </w:t>
      </w:r>
      <w:r w:rsidR="00A21873">
        <w:rPr>
          <w:rFonts w:ascii="Arial" w:hAnsi="Arial" w:cs="Arial"/>
          <w:sz w:val="24"/>
          <w:szCs w:val="24"/>
        </w:rPr>
        <w:t>The department continues to provide weekly M</w:t>
      </w:r>
      <w:r w:rsidR="00CC7E8C">
        <w:rPr>
          <w:rFonts w:ascii="Arial" w:hAnsi="Arial" w:cs="Arial"/>
          <w:sz w:val="24"/>
          <w:szCs w:val="24"/>
        </w:rPr>
        <w:t>useum Minute</w:t>
      </w:r>
      <w:r w:rsidR="00A21873">
        <w:rPr>
          <w:rFonts w:ascii="Arial" w:hAnsi="Arial" w:cs="Arial"/>
          <w:sz w:val="24"/>
          <w:szCs w:val="24"/>
        </w:rPr>
        <w:t xml:space="preserve"> videos (60 second clips focused on various specimens on display)</w:t>
      </w:r>
      <w:r w:rsidR="00CC7E8C">
        <w:rPr>
          <w:rFonts w:ascii="Arial" w:hAnsi="Arial" w:cs="Arial"/>
          <w:sz w:val="24"/>
          <w:szCs w:val="24"/>
        </w:rPr>
        <w:t xml:space="preserve">, </w:t>
      </w:r>
      <w:r w:rsidR="00A21873">
        <w:rPr>
          <w:rFonts w:ascii="Arial" w:hAnsi="Arial" w:cs="Arial"/>
          <w:sz w:val="24"/>
          <w:szCs w:val="24"/>
        </w:rPr>
        <w:t xml:space="preserve">and </w:t>
      </w:r>
      <w:r w:rsidR="00CC7E8C">
        <w:rPr>
          <w:rFonts w:ascii="Arial" w:hAnsi="Arial" w:cs="Arial"/>
          <w:sz w:val="24"/>
          <w:szCs w:val="24"/>
        </w:rPr>
        <w:t xml:space="preserve">updated </w:t>
      </w:r>
      <w:r>
        <w:rPr>
          <w:rFonts w:ascii="Arial" w:hAnsi="Arial" w:cs="Arial"/>
          <w:sz w:val="24"/>
          <w:szCs w:val="24"/>
        </w:rPr>
        <w:t xml:space="preserve">Education Guide and Distance Learning Program </w:t>
      </w:r>
      <w:r w:rsidR="00CC7E8C">
        <w:rPr>
          <w:rFonts w:ascii="Arial" w:hAnsi="Arial" w:cs="Arial"/>
          <w:sz w:val="24"/>
          <w:szCs w:val="24"/>
        </w:rPr>
        <w:t>Guide</w:t>
      </w:r>
      <w:r>
        <w:rPr>
          <w:rFonts w:ascii="Arial" w:hAnsi="Arial" w:cs="Arial"/>
          <w:sz w:val="24"/>
          <w:szCs w:val="24"/>
        </w:rPr>
        <w:t xml:space="preserve"> </w:t>
      </w:r>
      <w:r w:rsidR="00A21873">
        <w:rPr>
          <w:rFonts w:ascii="Arial" w:hAnsi="Arial" w:cs="Arial"/>
          <w:sz w:val="24"/>
          <w:szCs w:val="24"/>
        </w:rPr>
        <w:t xml:space="preserve">during this quarter. </w:t>
      </w:r>
    </w:p>
    <w:p w:rsidR="00D21DF5" w:rsidRPr="00CC7E8C" w:rsidRDefault="00A21873" w:rsidP="00CC7E8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education department ordered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21DF5">
        <w:rPr>
          <w:rFonts w:ascii="Arial" w:hAnsi="Arial" w:cs="Arial"/>
          <w:sz w:val="24"/>
          <w:szCs w:val="24"/>
        </w:rPr>
        <w:t>Hydroponic Growing Units for programs</w:t>
      </w:r>
      <w:r>
        <w:rPr>
          <w:rFonts w:ascii="Arial" w:hAnsi="Arial" w:cs="Arial"/>
          <w:sz w:val="24"/>
          <w:szCs w:val="24"/>
        </w:rPr>
        <w:t xml:space="preserve">. Two of the units are set up in the classrooms and </w:t>
      </w:r>
      <w:proofErr w:type="gramStart"/>
      <w:r>
        <w:rPr>
          <w:rFonts w:ascii="Arial" w:hAnsi="Arial" w:cs="Arial"/>
          <w:sz w:val="24"/>
          <w:szCs w:val="24"/>
        </w:rPr>
        <w:t>are being utilized</w:t>
      </w:r>
      <w:proofErr w:type="gramEnd"/>
      <w:r>
        <w:rPr>
          <w:rFonts w:ascii="Arial" w:hAnsi="Arial" w:cs="Arial"/>
          <w:sz w:val="24"/>
          <w:szCs w:val="24"/>
        </w:rPr>
        <w:t xml:space="preserve"> with the bi-monthly Homeschool Science and Engineering Academy students. They recently planted two varieties of lettuce mix as well as basil. </w:t>
      </w:r>
      <w:proofErr w:type="gramStart"/>
      <w:r>
        <w:rPr>
          <w:rFonts w:ascii="Arial" w:hAnsi="Arial" w:cs="Arial"/>
          <w:sz w:val="24"/>
          <w:szCs w:val="24"/>
        </w:rPr>
        <w:t>This will be an ongoing project in which the students will chart growth and monthly observations.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F60E7" w:rsidRDefault="00A21873" w:rsidP="00FF60E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Upcoming- We are continuing to see an increase with in-person program requests, such as;</w:t>
      </w:r>
    </w:p>
    <w:p w:rsidR="00CF205E" w:rsidRDefault="00331036" w:rsidP="00FF60E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Sleepovers and Birthday party programs </w:t>
      </w:r>
    </w:p>
    <w:p w:rsidR="007B782C" w:rsidRDefault="007B782C" w:rsidP="00FF60E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Homeschool Science and Engineering Academy (in-person)</w:t>
      </w:r>
    </w:p>
    <w:p w:rsidR="007B782C" w:rsidRDefault="007B782C" w:rsidP="00FF60E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Doodle Bugs (in-person)</w:t>
      </w:r>
      <w:r w:rsidR="00A218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1873">
        <w:rPr>
          <w:rFonts w:ascii="Arial" w:hAnsi="Arial" w:cs="Arial"/>
          <w:sz w:val="24"/>
          <w:szCs w:val="24"/>
        </w:rPr>
        <w:t>The</w:t>
      </w:r>
      <w:proofErr w:type="gramEnd"/>
      <w:r w:rsidR="00A21873">
        <w:rPr>
          <w:rFonts w:ascii="Arial" w:hAnsi="Arial" w:cs="Arial"/>
          <w:sz w:val="24"/>
          <w:szCs w:val="24"/>
        </w:rPr>
        <w:t xml:space="preserve"> committee discussed the Child Care Stabilization Grant through the Department of Education which may make </w:t>
      </w:r>
      <w:r w:rsidR="00A21873">
        <w:rPr>
          <w:rFonts w:ascii="Arial" w:hAnsi="Arial" w:cs="Arial"/>
          <w:sz w:val="24"/>
          <w:szCs w:val="24"/>
        </w:rPr>
        <w:lastRenderedPageBreak/>
        <w:t>it easier to reach new audiences. Child Care facilities can use the grant funds to participate in museum visits and programs.</w:t>
      </w:r>
    </w:p>
    <w:p w:rsidR="00F71CAC" w:rsidRDefault="00F71CAC" w:rsidP="00FF60E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Visiting school groups</w:t>
      </w:r>
    </w:p>
    <w:p w:rsidR="00630AD5" w:rsidRDefault="003D4ACF" w:rsidP="00630A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Updates:</w:t>
      </w:r>
    </w:p>
    <w:p w:rsidR="00630AD5" w:rsidRDefault="00A21873" w:rsidP="00630A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reported that the </w:t>
      </w:r>
      <w:proofErr w:type="spellStart"/>
      <w:r w:rsidR="00630AD5">
        <w:rPr>
          <w:rFonts w:ascii="Arial" w:hAnsi="Arial" w:cs="Arial"/>
          <w:sz w:val="24"/>
          <w:szCs w:val="24"/>
        </w:rPr>
        <w:t>Boxley</w:t>
      </w:r>
      <w:proofErr w:type="spellEnd"/>
      <w:r w:rsidR="00630AD5">
        <w:rPr>
          <w:rFonts w:ascii="Arial" w:hAnsi="Arial" w:cs="Arial"/>
          <w:sz w:val="24"/>
          <w:szCs w:val="24"/>
        </w:rPr>
        <w:t xml:space="preserve"> Grant for Virtual Programming </w:t>
      </w:r>
      <w:r w:rsidR="00D47F78">
        <w:rPr>
          <w:rFonts w:ascii="Arial" w:hAnsi="Arial" w:cs="Arial"/>
          <w:sz w:val="24"/>
          <w:szCs w:val="24"/>
        </w:rPr>
        <w:t xml:space="preserve">($10,000 </w:t>
      </w:r>
      <w:r w:rsidR="007F041E">
        <w:rPr>
          <w:rFonts w:ascii="Arial" w:hAnsi="Arial" w:cs="Arial"/>
          <w:sz w:val="24"/>
          <w:szCs w:val="24"/>
        </w:rPr>
        <w:t>total</w:t>
      </w:r>
      <w:r w:rsidR="003422C7">
        <w:rPr>
          <w:rFonts w:ascii="Arial" w:hAnsi="Arial" w:cs="Arial"/>
          <w:sz w:val="24"/>
          <w:szCs w:val="24"/>
        </w:rPr>
        <w:t xml:space="preserve"> </w:t>
      </w:r>
      <w:r w:rsidR="007F041E">
        <w:rPr>
          <w:rFonts w:ascii="Arial" w:hAnsi="Arial" w:cs="Arial"/>
          <w:sz w:val="24"/>
          <w:szCs w:val="24"/>
        </w:rPr>
        <w:t xml:space="preserve">- $4,000 </w:t>
      </w:r>
      <w:r w:rsidR="003422C7">
        <w:rPr>
          <w:rFonts w:ascii="Arial" w:hAnsi="Arial" w:cs="Arial"/>
          <w:sz w:val="24"/>
          <w:szCs w:val="24"/>
        </w:rPr>
        <w:t xml:space="preserve">towards </w:t>
      </w:r>
      <w:r w:rsidR="007F041E">
        <w:rPr>
          <w:rFonts w:ascii="Arial" w:hAnsi="Arial" w:cs="Arial"/>
          <w:sz w:val="24"/>
          <w:szCs w:val="24"/>
        </w:rPr>
        <w:t xml:space="preserve">scholarships </w:t>
      </w:r>
      <w:r w:rsidR="00D47F78">
        <w:rPr>
          <w:rFonts w:ascii="Arial" w:hAnsi="Arial" w:cs="Arial"/>
          <w:sz w:val="24"/>
          <w:szCs w:val="24"/>
        </w:rPr>
        <w:t>March 2021 through December 2021)</w:t>
      </w:r>
      <w:r>
        <w:rPr>
          <w:rFonts w:ascii="Arial" w:hAnsi="Arial" w:cs="Arial"/>
          <w:sz w:val="24"/>
          <w:szCs w:val="24"/>
        </w:rPr>
        <w:t xml:space="preserve"> is wrapping up in December</w:t>
      </w:r>
    </w:p>
    <w:p w:rsidR="003D4ACF" w:rsidRDefault="003D4ACF" w:rsidP="00630A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Hooker </w:t>
      </w:r>
      <w:r w:rsidR="00CC260C">
        <w:rPr>
          <w:rFonts w:ascii="Arial" w:hAnsi="Arial" w:cs="Arial"/>
          <w:sz w:val="24"/>
          <w:szCs w:val="24"/>
        </w:rPr>
        <w:t>Furnishings</w:t>
      </w:r>
      <w:r>
        <w:rPr>
          <w:rFonts w:ascii="Arial" w:hAnsi="Arial" w:cs="Arial"/>
          <w:sz w:val="24"/>
          <w:szCs w:val="24"/>
        </w:rPr>
        <w:t xml:space="preserve"> </w:t>
      </w:r>
      <w:r w:rsidR="00F27033">
        <w:rPr>
          <w:rFonts w:ascii="Arial" w:hAnsi="Arial" w:cs="Arial"/>
          <w:sz w:val="24"/>
          <w:szCs w:val="24"/>
        </w:rPr>
        <w:t>($2,500 total</w:t>
      </w:r>
      <w:r w:rsidR="00BF65FA">
        <w:rPr>
          <w:rFonts w:ascii="Arial" w:hAnsi="Arial" w:cs="Arial"/>
          <w:sz w:val="24"/>
          <w:szCs w:val="24"/>
        </w:rPr>
        <w:t xml:space="preserve"> </w:t>
      </w:r>
      <w:r w:rsidR="00F27033">
        <w:rPr>
          <w:rFonts w:ascii="Arial" w:hAnsi="Arial" w:cs="Arial"/>
          <w:sz w:val="24"/>
          <w:szCs w:val="24"/>
        </w:rPr>
        <w:t>- $1,5</w:t>
      </w:r>
      <w:r w:rsidR="008B1ECF">
        <w:rPr>
          <w:rFonts w:ascii="Arial" w:hAnsi="Arial" w:cs="Arial"/>
          <w:sz w:val="24"/>
          <w:szCs w:val="24"/>
        </w:rPr>
        <w:t>00</w:t>
      </w:r>
      <w:r w:rsidR="00F27033">
        <w:rPr>
          <w:rFonts w:ascii="Arial" w:hAnsi="Arial" w:cs="Arial"/>
          <w:sz w:val="24"/>
          <w:szCs w:val="24"/>
        </w:rPr>
        <w:t xml:space="preserve"> </w:t>
      </w:r>
      <w:r w:rsidR="003422C7">
        <w:rPr>
          <w:rFonts w:ascii="Arial" w:hAnsi="Arial" w:cs="Arial"/>
          <w:sz w:val="24"/>
          <w:szCs w:val="24"/>
        </w:rPr>
        <w:t xml:space="preserve">towards </w:t>
      </w:r>
      <w:r w:rsidR="00F27033">
        <w:rPr>
          <w:rFonts w:ascii="Arial" w:hAnsi="Arial" w:cs="Arial"/>
          <w:sz w:val="24"/>
          <w:szCs w:val="24"/>
        </w:rPr>
        <w:t>scholarships March 2021 through April 2022)</w:t>
      </w:r>
    </w:p>
    <w:p w:rsidR="00835F6A" w:rsidRDefault="00A21873" w:rsidP="00630A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reported that 66 of the 110 programs through the </w:t>
      </w:r>
      <w:r w:rsidR="00835F6A">
        <w:rPr>
          <w:rFonts w:ascii="Arial" w:hAnsi="Arial" w:cs="Arial"/>
          <w:sz w:val="24"/>
          <w:szCs w:val="24"/>
        </w:rPr>
        <w:t xml:space="preserve">Monogram Loves Kids Foundation - $10,000 towards scholarships (virtual or in-person) </w:t>
      </w:r>
      <w:r>
        <w:rPr>
          <w:rFonts w:ascii="Arial" w:hAnsi="Arial" w:cs="Arial"/>
          <w:sz w:val="24"/>
          <w:szCs w:val="24"/>
        </w:rPr>
        <w:t>(</w:t>
      </w:r>
      <w:r w:rsidR="00835F6A">
        <w:rPr>
          <w:rFonts w:ascii="Arial" w:hAnsi="Arial" w:cs="Arial"/>
          <w:sz w:val="24"/>
          <w:szCs w:val="24"/>
        </w:rPr>
        <w:t>October 2021 – May 2022</w:t>
      </w:r>
      <w:r>
        <w:rPr>
          <w:rFonts w:ascii="Arial" w:hAnsi="Arial" w:cs="Arial"/>
          <w:sz w:val="24"/>
          <w:szCs w:val="24"/>
        </w:rPr>
        <w:t xml:space="preserve">) has already been scheduled and currently being presented. </w:t>
      </w:r>
    </w:p>
    <w:p w:rsidR="002D56AF" w:rsidRPr="00CD38B5" w:rsidRDefault="002D56AF" w:rsidP="00630AD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Siemens Empower Grant - $7,000 towards purchase of supplies to create new renewable energy programs/enhance existing programs</w:t>
      </w:r>
    </w:p>
    <w:p w:rsidR="00B03E80" w:rsidRDefault="00B03E80" w:rsidP="00B72A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>Exhibit Subcommittee</w:t>
      </w:r>
      <w:r w:rsidR="001449EB" w:rsidRPr="00CD38B5">
        <w:rPr>
          <w:rFonts w:ascii="Arial" w:hAnsi="Arial" w:cs="Arial"/>
          <w:sz w:val="24"/>
          <w:szCs w:val="24"/>
        </w:rPr>
        <w:t xml:space="preserve"> </w:t>
      </w:r>
      <w:r w:rsidR="003D4ACF">
        <w:rPr>
          <w:rFonts w:ascii="Arial" w:hAnsi="Arial" w:cs="Arial"/>
          <w:sz w:val="24"/>
          <w:szCs w:val="24"/>
        </w:rPr>
        <w:t>–</w:t>
      </w:r>
      <w:r w:rsidR="001449EB" w:rsidRPr="00CD38B5">
        <w:rPr>
          <w:rFonts w:ascii="Arial" w:hAnsi="Arial" w:cs="Arial"/>
          <w:sz w:val="24"/>
          <w:szCs w:val="24"/>
        </w:rPr>
        <w:t xml:space="preserve"> </w:t>
      </w:r>
    </w:p>
    <w:p w:rsidR="0063381C" w:rsidRDefault="004A00A0" w:rsidP="003D4AC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Science of Flight exhibit development (bilingual exhibit text)</w:t>
      </w:r>
      <w:r w:rsidR="005B49E3">
        <w:rPr>
          <w:rFonts w:ascii="Arial" w:hAnsi="Arial" w:cs="Arial"/>
          <w:sz w:val="24"/>
          <w:szCs w:val="24"/>
        </w:rPr>
        <w:t xml:space="preserve"> Opens Jan. 22 with Flight Festival</w:t>
      </w:r>
    </w:p>
    <w:p w:rsidR="00725603" w:rsidRDefault="00725603" w:rsidP="003D4AC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 Topo Table instructional video development (with visitor activities)</w:t>
      </w:r>
    </w:p>
    <w:p w:rsidR="008C538D" w:rsidRPr="00CD38B5" w:rsidRDefault="008C538D" w:rsidP="008C53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Report/Recommendation to BOT: Committee Chair Cord </w:t>
      </w:r>
      <w:proofErr w:type="spellStart"/>
      <w:r>
        <w:rPr>
          <w:rFonts w:ascii="Arial" w:hAnsi="Arial" w:cs="Arial"/>
          <w:sz w:val="24"/>
          <w:szCs w:val="24"/>
        </w:rPr>
        <w:t>Cothren</w:t>
      </w:r>
      <w:proofErr w:type="spellEnd"/>
      <w:r>
        <w:rPr>
          <w:rFonts w:ascii="Arial" w:hAnsi="Arial" w:cs="Arial"/>
          <w:sz w:val="24"/>
          <w:szCs w:val="24"/>
        </w:rPr>
        <w:t xml:space="preserve"> will report </w:t>
      </w:r>
      <w:proofErr w:type="gramStart"/>
      <w:r>
        <w:rPr>
          <w:rFonts w:ascii="Arial" w:hAnsi="Arial" w:cs="Arial"/>
          <w:sz w:val="24"/>
          <w:szCs w:val="24"/>
        </w:rPr>
        <w:t>on:</w:t>
      </w:r>
      <w:proofErr w:type="gramEnd"/>
      <w:r>
        <w:rPr>
          <w:rFonts w:ascii="Arial" w:hAnsi="Arial" w:cs="Arial"/>
          <w:sz w:val="24"/>
          <w:szCs w:val="24"/>
        </w:rPr>
        <w:t xml:space="preserve"> Monogram Grant programs, </w:t>
      </w:r>
      <w:proofErr w:type="spellStart"/>
      <w:r>
        <w:rPr>
          <w:rFonts w:ascii="Arial" w:hAnsi="Arial" w:cs="Arial"/>
          <w:sz w:val="24"/>
          <w:szCs w:val="24"/>
        </w:rPr>
        <w:t>Seimens</w:t>
      </w:r>
      <w:proofErr w:type="spellEnd"/>
      <w:r>
        <w:rPr>
          <w:rFonts w:ascii="Arial" w:hAnsi="Arial" w:cs="Arial"/>
          <w:sz w:val="24"/>
          <w:szCs w:val="24"/>
        </w:rPr>
        <w:t xml:space="preserve"> grant purchases, numbers from the quarter, and the hydroponic growing units. 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9916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A21873" w:rsidRPr="00CD38B5" w:rsidTr="00A21873">
        <w:tc>
          <w:tcPr>
            <w:tcW w:w="1525" w:type="dxa"/>
          </w:tcPr>
          <w:p w:rsidR="00A21873" w:rsidRPr="00CD38B5" w:rsidRDefault="00A21873" w:rsidP="00A218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A21873" w:rsidRPr="00CD38B5" w:rsidRDefault="00A21873" w:rsidP="00A21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:rsidR="00A21873" w:rsidRPr="00CD38B5" w:rsidRDefault="00A21873" w:rsidP="00A21873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:rsidR="00A21873" w:rsidRPr="00CD38B5" w:rsidRDefault="00A21873" w:rsidP="00A21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:rsidR="00A21873" w:rsidRPr="00CD38B5" w:rsidRDefault="00A21873" w:rsidP="00A21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A21873" w:rsidRPr="00CD38B5" w:rsidTr="00A21873">
        <w:trPr>
          <w:trHeight w:val="43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A21873" w:rsidRPr="00CD38B5" w:rsidRDefault="00A21873" w:rsidP="00A21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21873" w:rsidRPr="0095594C" w:rsidRDefault="00A21873" w:rsidP="00A21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A21873" w:rsidRPr="0095594C" w:rsidRDefault="00A21873" w:rsidP="00A21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21873" w:rsidRPr="0095594C" w:rsidRDefault="00A21873" w:rsidP="00A21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21873" w:rsidRPr="0095594C" w:rsidRDefault="00A21873" w:rsidP="00A21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21873" w:rsidRPr="0095594C" w:rsidRDefault="00A21873" w:rsidP="00A21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A21873" w:rsidRPr="0095594C" w:rsidRDefault="00A21873" w:rsidP="00A21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A21873" w:rsidRPr="00CD38B5" w:rsidTr="00A21873">
        <w:tc>
          <w:tcPr>
            <w:tcW w:w="1525" w:type="dxa"/>
          </w:tcPr>
          <w:p w:rsidR="00A21873" w:rsidRPr="00CD38B5" w:rsidRDefault="00A21873" w:rsidP="00A218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Pr="00CD38B5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</w:t>
            </w:r>
          </w:p>
        </w:tc>
        <w:tc>
          <w:tcPr>
            <w:tcW w:w="1440" w:type="dxa"/>
            <w:shd w:val="clear" w:color="auto" w:fill="FFFFFF" w:themeFill="background1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1873" w:rsidRPr="00CD38B5" w:rsidTr="00A21873">
        <w:tc>
          <w:tcPr>
            <w:tcW w:w="1525" w:type="dxa"/>
          </w:tcPr>
          <w:p w:rsidR="00A21873" w:rsidRPr="00CD38B5" w:rsidRDefault="00A21873" w:rsidP="00A218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</w:t>
            </w:r>
            <w:r w:rsidRPr="00CD38B5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>020</w:t>
            </w:r>
            <w:r w:rsidRPr="00CD38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21873" w:rsidRPr="00CD38B5" w:rsidTr="00A21873">
        <w:trPr>
          <w:trHeight w:val="242"/>
        </w:trPr>
        <w:tc>
          <w:tcPr>
            <w:tcW w:w="1525" w:type="dxa"/>
          </w:tcPr>
          <w:p w:rsidR="00A21873" w:rsidRDefault="00A21873" w:rsidP="00A218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</w:t>
            </w:r>
          </w:p>
          <w:p w:rsidR="00A21873" w:rsidRPr="00CD38B5" w:rsidRDefault="00A21873" w:rsidP="00A218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4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A21873" w:rsidRPr="00CD38B5" w:rsidTr="00A21873">
        <w:trPr>
          <w:trHeight w:val="242"/>
        </w:trPr>
        <w:tc>
          <w:tcPr>
            <w:tcW w:w="1525" w:type="dxa"/>
          </w:tcPr>
          <w:p w:rsidR="00A21873" w:rsidRPr="00CD38B5" w:rsidRDefault="00A21873" w:rsidP="00A218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44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236</w:t>
            </w:r>
          </w:p>
        </w:tc>
        <w:tc>
          <w:tcPr>
            <w:tcW w:w="1440" w:type="dxa"/>
            <w:shd w:val="clear" w:color="auto" w:fill="FFFFFF" w:themeFill="background1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:rsidR="00A21873" w:rsidRPr="00CD38B5" w:rsidRDefault="00A21873" w:rsidP="00A2187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</w:tc>
      </w:tr>
    </w:tbl>
    <w:p w:rsidR="00993963" w:rsidRPr="00CD38B5" w:rsidRDefault="00993963" w:rsidP="00993963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3716D0" w:rsidRDefault="003716D0" w:rsidP="00621151">
      <w:pPr>
        <w:rPr>
          <w:rFonts w:ascii="Arial" w:hAnsi="Arial" w:cs="Arial"/>
          <w:b/>
          <w:sz w:val="24"/>
          <w:szCs w:val="24"/>
        </w:rPr>
      </w:pPr>
    </w:p>
    <w:p w:rsidR="003716D0" w:rsidRPr="00CD38B5" w:rsidRDefault="003716D0" w:rsidP="003716D0">
      <w:pPr>
        <w:jc w:val="center"/>
        <w:rPr>
          <w:rFonts w:ascii="Arial" w:hAnsi="Arial" w:cs="Arial"/>
          <w:sz w:val="24"/>
          <w:szCs w:val="24"/>
        </w:rPr>
      </w:pPr>
      <w:r w:rsidRPr="00CD38B5">
        <w:rPr>
          <w:rFonts w:ascii="Arial" w:hAnsi="Arial" w:cs="Arial"/>
          <w:sz w:val="24"/>
          <w:szCs w:val="24"/>
        </w:rPr>
        <w:t xml:space="preserve">No public comments </w:t>
      </w:r>
      <w:proofErr w:type="gramStart"/>
      <w:r w:rsidRPr="00CD38B5">
        <w:rPr>
          <w:rFonts w:ascii="Arial" w:hAnsi="Arial" w:cs="Arial"/>
          <w:sz w:val="24"/>
          <w:szCs w:val="24"/>
        </w:rPr>
        <w:t>will be taken</w:t>
      </w:r>
      <w:proofErr w:type="gramEnd"/>
      <w:r w:rsidRPr="00CD38B5">
        <w:rPr>
          <w:rFonts w:ascii="Arial" w:hAnsi="Arial" w:cs="Arial"/>
          <w:sz w:val="24"/>
          <w:szCs w:val="24"/>
        </w:rPr>
        <w:t xml:space="preserve"> at this meeting</w:t>
      </w:r>
    </w:p>
    <w:p w:rsidR="003716D0" w:rsidRDefault="003716D0" w:rsidP="00621151">
      <w:pPr>
        <w:rPr>
          <w:rFonts w:ascii="Arial" w:hAnsi="Arial" w:cs="Arial"/>
          <w:b/>
          <w:sz w:val="24"/>
          <w:szCs w:val="24"/>
        </w:rPr>
      </w:pPr>
    </w:p>
    <w:p w:rsidR="003716D0" w:rsidRDefault="003716D0" w:rsidP="00621151">
      <w:pPr>
        <w:rPr>
          <w:rFonts w:ascii="Arial" w:hAnsi="Arial" w:cs="Arial"/>
          <w:b/>
          <w:sz w:val="24"/>
          <w:szCs w:val="24"/>
        </w:rPr>
      </w:pPr>
    </w:p>
    <w:p w:rsidR="006E1631" w:rsidRDefault="006E1631" w:rsidP="006E1631">
      <w:pPr>
        <w:rPr>
          <w:rFonts w:ascii="Arial" w:hAnsi="Arial" w:cs="Arial"/>
          <w:b/>
          <w:sz w:val="24"/>
          <w:szCs w:val="24"/>
        </w:rPr>
      </w:pPr>
      <w:r w:rsidRPr="00CD38B5">
        <w:rPr>
          <w:rFonts w:ascii="Arial" w:hAnsi="Arial" w:cs="Arial"/>
          <w:b/>
          <w:sz w:val="24"/>
          <w:szCs w:val="24"/>
        </w:rPr>
        <w:t>DEPP Quarterly Numbers</w:t>
      </w:r>
    </w:p>
    <w:p w:rsidR="00CC7E8C" w:rsidRDefault="00CC7E8C" w:rsidP="00621151">
      <w:pPr>
        <w:rPr>
          <w:rFonts w:ascii="Arial" w:hAnsi="Arial" w:cs="Arial"/>
          <w:b/>
          <w:sz w:val="24"/>
          <w:szCs w:val="24"/>
        </w:rPr>
      </w:pPr>
    </w:p>
    <w:p w:rsidR="00CC7E8C" w:rsidRDefault="00CC7E8C" w:rsidP="00621151">
      <w:pPr>
        <w:rPr>
          <w:rFonts w:ascii="Arial" w:hAnsi="Arial" w:cs="Arial"/>
          <w:b/>
          <w:sz w:val="24"/>
          <w:szCs w:val="24"/>
        </w:rPr>
      </w:pPr>
    </w:p>
    <w:p w:rsidR="003716D0" w:rsidRDefault="003716D0" w:rsidP="00621151">
      <w:pPr>
        <w:rPr>
          <w:rFonts w:ascii="Arial" w:hAnsi="Arial" w:cs="Arial"/>
          <w:b/>
          <w:sz w:val="24"/>
          <w:szCs w:val="24"/>
        </w:rPr>
      </w:pPr>
    </w:p>
    <w:p w:rsidR="003716D0" w:rsidRDefault="003716D0" w:rsidP="00621151">
      <w:pPr>
        <w:rPr>
          <w:rFonts w:ascii="Arial" w:hAnsi="Arial" w:cs="Arial"/>
          <w:b/>
          <w:sz w:val="24"/>
          <w:szCs w:val="24"/>
        </w:rPr>
      </w:pPr>
    </w:p>
    <w:p w:rsidR="00621151" w:rsidRPr="00CD38B5" w:rsidRDefault="00621151" w:rsidP="0062115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966"/>
        <w:tblW w:w="9175" w:type="dxa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1080"/>
        <w:gridCol w:w="1440"/>
        <w:gridCol w:w="1170"/>
        <w:gridCol w:w="1440"/>
        <w:gridCol w:w="1080"/>
      </w:tblGrid>
      <w:tr w:rsidR="003716D0" w:rsidRPr="00CD38B5" w:rsidTr="003716D0">
        <w:tc>
          <w:tcPr>
            <w:tcW w:w="1525" w:type="dxa"/>
          </w:tcPr>
          <w:p w:rsidR="003716D0" w:rsidRPr="00CD38B5" w:rsidRDefault="003716D0" w:rsidP="00371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3716D0" w:rsidRPr="00CD38B5" w:rsidRDefault="003716D0" w:rsidP="00371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Outreach</w:t>
            </w:r>
          </w:p>
          <w:p w:rsidR="003716D0" w:rsidRPr="00CD38B5" w:rsidRDefault="003716D0" w:rsidP="003716D0">
            <w:pPr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(Martinsville, Central, South Central, Eastern)</w:t>
            </w:r>
          </w:p>
        </w:tc>
        <w:tc>
          <w:tcPr>
            <w:tcW w:w="2610" w:type="dxa"/>
            <w:gridSpan w:val="2"/>
            <w:vAlign w:val="center"/>
          </w:tcPr>
          <w:p w:rsidR="003716D0" w:rsidRPr="00CD38B5" w:rsidRDefault="003716D0" w:rsidP="00371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At-the-Museum</w:t>
            </w:r>
          </w:p>
        </w:tc>
        <w:tc>
          <w:tcPr>
            <w:tcW w:w="2520" w:type="dxa"/>
            <w:gridSpan w:val="2"/>
            <w:vAlign w:val="center"/>
          </w:tcPr>
          <w:p w:rsidR="003716D0" w:rsidRPr="00CD38B5" w:rsidRDefault="003716D0" w:rsidP="00371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Distance Learning</w:t>
            </w:r>
          </w:p>
        </w:tc>
      </w:tr>
      <w:tr w:rsidR="003716D0" w:rsidRPr="00CD38B5" w:rsidTr="003716D0">
        <w:trPr>
          <w:trHeight w:val="431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3716D0" w:rsidRPr="00CD38B5" w:rsidRDefault="003716D0" w:rsidP="00371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8B5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716D0" w:rsidRPr="0095594C" w:rsidRDefault="003716D0" w:rsidP="00371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716D0" w:rsidRPr="0095594C" w:rsidRDefault="003716D0" w:rsidP="00371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716D0" w:rsidRPr="0095594C" w:rsidRDefault="003716D0" w:rsidP="00371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3716D0" w:rsidRPr="0095594C" w:rsidRDefault="003716D0" w:rsidP="00371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716D0" w:rsidRPr="0095594C" w:rsidRDefault="003716D0" w:rsidP="00371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716D0" w:rsidRPr="0095594C" w:rsidRDefault="003716D0" w:rsidP="003716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94C">
              <w:rPr>
                <w:rFonts w:ascii="Arial" w:hAnsi="Arial" w:cs="Arial"/>
                <w:sz w:val="20"/>
                <w:szCs w:val="20"/>
              </w:rPr>
              <w:t>SERVED</w:t>
            </w:r>
          </w:p>
        </w:tc>
      </w:tr>
      <w:tr w:rsidR="003716D0" w:rsidRPr="00CD38B5" w:rsidTr="003716D0">
        <w:tc>
          <w:tcPr>
            <w:tcW w:w="1525" w:type="dxa"/>
          </w:tcPr>
          <w:p w:rsidR="003716D0" w:rsidRPr="00CD38B5" w:rsidRDefault="00B867CC" w:rsidP="003376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</w:t>
            </w:r>
            <w:r w:rsidR="004A0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16D0" w:rsidRPr="00CD38B5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376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44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1440" w:type="dxa"/>
            <w:shd w:val="clear" w:color="auto" w:fill="FFFFFF" w:themeFill="background1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16D0" w:rsidRPr="00CD38B5" w:rsidTr="003716D0">
        <w:tc>
          <w:tcPr>
            <w:tcW w:w="1525" w:type="dxa"/>
          </w:tcPr>
          <w:p w:rsidR="003716D0" w:rsidRPr="00CD38B5" w:rsidRDefault="00B867CC" w:rsidP="00371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</w:t>
            </w:r>
            <w:r w:rsidR="00337602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3716D0" w:rsidRPr="00CD38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716D0" w:rsidRPr="00CD38B5" w:rsidRDefault="00B93439" w:rsidP="005E38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4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440" w:type="dxa"/>
            <w:shd w:val="clear" w:color="auto" w:fill="FFFFFF" w:themeFill="background1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16D0" w:rsidRPr="00CD38B5" w:rsidTr="003716D0">
        <w:trPr>
          <w:trHeight w:val="242"/>
        </w:trPr>
        <w:tc>
          <w:tcPr>
            <w:tcW w:w="1525" w:type="dxa"/>
          </w:tcPr>
          <w:p w:rsidR="003716D0" w:rsidRPr="00CD38B5" w:rsidRDefault="00B867CC" w:rsidP="00371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33760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4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440" w:type="dxa"/>
            <w:shd w:val="clear" w:color="auto" w:fill="FFFFFF" w:themeFill="background1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16D0" w:rsidRPr="00CD38B5" w:rsidTr="007214DB">
        <w:trPr>
          <w:trHeight w:val="347"/>
        </w:trPr>
        <w:tc>
          <w:tcPr>
            <w:tcW w:w="1525" w:type="dxa"/>
          </w:tcPr>
          <w:p w:rsidR="003716D0" w:rsidRPr="00CD38B5" w:rsidRDefault="00B93439" w:rsidP="00371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44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158</w:t>
            </w:r>
          </w:p>
        </w:tc>
        <w:tc>
          <w:tcPr>
            <w:tcW w:w="144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717</w:t>
            </w:r>
          </w:p>
        </w:tc>
        <w:tc>
          <w:tcPr>
            <w:tcW w:w="1440" w:type="dxa"/>
            <w:shd w:val="clear" w:color="auto" w:fill="FFFFFF" w:themeFill="background1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3716D0" w:rsidRPr="00CD38B5" w:rsidRDefault="00B93439" w:rsidP="003716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1422C8" w:rsidRDefault="00682EF2" w:rsidP="006211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Notes:</w:t>
      </w:r>
      <w:r w:rsidR="00785B63">
        <w:rPr>
          <w:rFonts w:ascii="Arial" w:hAnsi="Arial" w:cs="Arial"/>
          <w:sz w:val="24"/>
          <w:szCs w:val="24"/>
        </w:rPr>
        <w:t xml:space="preserve"> July 2020 Dino Drive Thru Festival</w:t>
      </w:r>
      <w:r w:rsidR="00083FC9">
        <w:rPr>
          <w:rFonts w:ascii="Arial" w:hAnsi="Arial" w:cs="Arial"/>
          <w:sz w:val="24"/>
          <w:szCs w:val="24"/>
        </w:rPr>
        <w:t>, July 2021 Bu</w:t>
      </w:r>
      <w:r w:rsidR="00F44A62">
        <w:rPr>
          <w:rFonts w:ascii="Arial" w:hAnsi="Arial" w:cs="Arial"/>
          <w:sz w:val="24"/>
          <w:szCs w:val="24"/>
        </w:rPr>
        <w:t>g Day Festival (ticketed event)</w:t>
      </w:r>
    </w:p>
    <w:p w:rsidR="00293E2B" w:rsidRDefault="00293E2B" w:rsidP="00621151">
      <w:pPr>
        <w:rPr>
          <w:rFonts w:ascii="Arial" w:hAnsi="Arial" w:cs="Arial"/>
          <w:sz w:val="24"/>
          <w:szCs w:val="24"/>
        </w:rPr>
      </w:pPr>
    </w:p>
    <w:p w:rsidR="00293E2B" w:rsidRPr="00CD38B5" w:rsidRDefault="00293E2B" w:rsidP="00621151">
      <w:pPr>
        <w:rPr>
          <w:rFonts w:ascii="Arial" w:hAnsi="Arial" w:cs="Arial"/>
          <w:sz w:val="24"/>
          <w:szCs w:val="24"/>
        </w:rPr>
      </w:pPr>
    </w:p>
    <w:sectPr w:rsidR="00293E2B" w:rsidRPr="00CD3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53FE"/>
    <w:multiLevelType w:val="hybridMultilevel"/>
    <w:tmpl w:val="DEF4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C2"/>
    <w:rsid w:val="00003E35"/>
    <w:rsid w:val="00012013"/>
    <w:rsid w:val="00015B60"/>
    <w:rsid w:val="00032894"/>
    <w:rsid w:val="000539C9"/>
    <w:rsid w:val="000645B6"/>
    <w:rsid w:val="00074D7B"/>
    <w:rsid w:val="00083FC9"/>
    <w:rsid w:val="00096BDE"/>
    <w:rsid w:val="000C66FE"/>
    <w:rsid w:val="000E763D"/>
    <w:rsid w:val="000F2FB1"/>
    <w:rsid w:val="0010287E"/>
    <w:rsid w:val="00113A4B"/>
    <w:rsid w:val="001175F6"/>
    <w:rsid w:val="00126BC1"/>
    <w:rsid w:val="001422C8"/>
    <w:rsid w:val="001449EB"/>
    <w:rsid w:val="00145BE8"/>
    <w:rsid w:val="00146830"/>
    <w:rsid w:val="00153F64"/>
    <w:rsid w:val="00154707"/>
    <w:rsid w:val="0019218C"/>
    <w:rsid w:val="00194FAB"/>
    <w:rsid w:val="001A2FAB"/>
    <w:rsid w:val="001A3EF6"/>
    <w:rsid w:val="001A5B55"/>
    <w:rsid w:val="001A6861"/>
    <w:rsid w:val="001B24D1"/>
    <w:rsid w:val="001C29BB"/>
    <w:rsid w:val="001C3DF3"/>
    <w:rsid w:val="001D0115"/>
    <w:rsid w:val="001D5994"/>
    <w:rsid w:val="001E2F22"/>
    <w:rsid w:val="0021334E"/>
    <w:rsid w:val="002205D6"/>
    <w:rsid w:val="002218F7"/>
    <w:rsid w:val="00221A7F"/>
    <w:rsid w:val="00224FC6"/>
    <w:rsid w:val="002300B2"/>
    <w:rsid w:val="00232F9A"/>
    <w:rsid w:val="00246FB4"/>
    <w:rsid w:val="00293E2B"/>
    <w:rsid w:val="002A5043"/>
    <w:rsid w:val="002B724F"/>
    <w:rsid w:val="002C1A7C"/>
    <w:rsid w:val="002D5410"/>
    <w:rsid w:val="002D56AF"/>
    <w:rsid w:val="002E56CD"/>
    <w:rsid w:val="002E5DF3"/>
    <w:rsid w:val="00301B5B"/>
    <w:rsid w:val="00306022"/>
    <w:rsid w:val="00312E0C"/>
    <w:rsid w:val="00316E60"/>
    <w:rsid w:val="00331036"/>
    <w:rsid w:val="00332916"/>
    <w:rsid w:val="003337B1"/>
    <w:rsid w:val="00337602"/>
    <w:rsid w:val="003422C7"/>
    <w:rsid w:val="003468E6"/>
    <w:rsid w:val="0035597A"/>
    <w:rsid w:val="00360582"/>
    <w:rsid w:val="00361A9C"/>
    <w:rsid w:val="003716D0"/>
    <w:rsid w:val="00372C56"/>
    <w:rsid w:val="00373DA7"/>
    <w:rsid w:val="003742CA"/>
    <w:rsid w:val="00374E15"/>
    <w:rsid w:val="00375071"/>
    <w:rsid w:val="003B384E"/>
    <w:rsid w:val="003C3372"/>
    <w:rsid w:val="003C6B8F"/>
    <w:rsid w:val="003D4ACF"/>
    <w:rsid w:val="003D6513"/>
    <w:rsid w:val="003F5F0F"/>
    <w:rsid w:val="003F6868"/>
    <w:rsid w:val="0041465D"/>
    <w:rsid w:val="00445D7E"/>
    <w:rsid w:val="00465116"/>
    <w:rsid w:val="00475785"/>
    <w:rsid w:val="00491EBD"/>
    <w:rsid w:val="004A00A0"/>
    <w:rsid w:val="004A22AF"/>
    <w:rsid w:val="004A7F2B"/>
    <w:rsid w:val="004B0476"/>
    <w:rsid w:val="004C127D"/>
    <w:rsid w:val="004C2ED2"/>
    <w:rsid w:val="004D13BE"/>
    <w:rsid w:val="004D4338"/>
    <w:rsid w:val="004F498D"/>
    <w:rsid w:val="005040C8"/>
    <w:rsid w:val="00512677"/>
    <w:rsid w:val="00513BB9"/>
    <w:rsid w:val="00527CA6"/>
    <w:rsid w:val="00534BB5"/>
    <w:rsid w:val="00566867"/>
    <w:rsid w:val="00573CF4"/>
    <w:rsid w:val="005954EF"/>
    <w:rsid w:val="005A459E"/>
    <w:rsid w:val="005A495E"/>
    <w:rsid w:val="005A5FDE"/>
    <w:rsid w:val="005B41F1"/>
    <w:rsid w:val="005B49E3"/>
    <w:rsid w:val="005B67EF"/>
    <w:rsid w:val="005C64E5"/>
    <w:rsid w:val="005D755E"/>
    <w:rsid w:val="005E3862"/>
    <w:rsid w:val="005F7399"/>
    <w:rsid w:val="00601955"/>
    <w:rsid w:val="0061071B"/>
    <w:rsid w:val="00615D07"/>
    <w:rsid w:val="0061756B"/>
    <w:rsid w:val="00621151"/>
    <w:rsid w:val="00624732"/>
    <w:rsid w:val="006250C9"/>
    <w:rsid w:val="00625DB3"/>
    <w:rsid w:val="00626A53"/>
    <w:rsid w:val="00630AD5"/>
    <w:rsid w:val="00631391"/>
    <w:rsid w:val="0063381C"/>
    <w:rsid w:val="00637C54"/>
    <w:rsid w:val="00676757"/>
    <w:rsid w:val="0068289D"/>
    <w:rsid w:val="00682EF2"/>
    <w:rsid w:val="006A240B"/>
    <w:rsid w:val="006A2857"/>
    <w:rsid w:val="006A6314"/>
    <w:rsid w:val="006B69AB"/>
    <w:rsid w:val="006D4397"/>
    <w:rsid w:val="006E1631"/>
    <w:rsid w:val="006E4178"/>
    <w:rsid w:val="0070539C"/>
    <w:rsid w:val="00707CE4"/>
    <w:rsid w:val="00715749"/>
    <w:rsid w:val="007214DB"/>
    <w:rsid w:val="0072558E"/>
    <w:rsid w:val="00725603"/>
    <w:rsid w:val="00726CBE"/>
    <w:rsid w:val="007279A5"/>
    <w:rsid w:val="00763781"/>
    <w:rsid w:val="00763816"/>
    <w:rsid w:val="00781061"/>
    <w:rsid w:val="00782B9A"/>
    <w:rsid w:val="00784105"/>
    <w:rsid w:val="00785B63"/>
    <w:rsid w:val="00796831"/>
    <w:rsid w:val="007A47F3"/>
    <w:rsid w:val="007B2740"/>
    <w:rsid w:val="007B51A0"/>
    <w:rsid w:val="007B782C"/>
    <w:rsid w:val="007D46B6"/>
    <w:rsid w:val="007E5865"/>
    <w:rsid w:val="007F041E"/>
    <w:rsid w:val="007F4048"/>
    <w:rsid w:val="00811C36"/>
    <w:rsid w:val="008203B4"/>
    <w:rsid w:val="008313AB"/>
    <w:rsid w:val="0083191D"/>
    <w:rsid w:val="00835B01"/>
    <w:rsid w:val="00835F6A"/>
    <w:rsid w:val="00842F3F"/>
    <w:rsid w:val="00851B61"/>
    <w:rsid w:val="00865F7A"/>
    <w:rsid w:val="0086705A"/>
    <w:rsid w:val="00872DD3"/>
    <w:rsid w:val="0088230A"/>
    <w:rsid w:val="00895DFA"/>
    <w:rsid w:val="008B13AD"/>
    <w:rsid w:val="008B1ECF"/>
    <w:rsid w:val="008B47AD"/>
    <w:rsid w:val="008B4CDA"/>
    <w:rsid w:val="008C538D"/>
    <w:rsid w:val="008D0130"/>
    <w:rsid w:val="008D048C"/>
    <w:rsid w:val="008E669A"/>
    <w:rsid w:val="009010E7"/>
    <w:rsid w:val="00910122"/>
    <w:rsid w:val="009109A2"/>
    <w:rsid w:val="0092704D"/>
    <w:rsid w:val="0093546E"/>
    <w:rsid w:val="00942FB0"/>
    <w:rsid w:val="0095594C"/>
    <w:rsid w:val="0095729D"/>
    <w:rsid w:val="00963D26"/>
    <w:rsid w:val="00964E9B"/>
    <w:rsid w:val="00974AE7"/>
    <w:rsid w:val="00976698"/>
    <w:rsid w:val="009766B8"/>
    <w:rsid w:val="00993963"/>
    <w:rsid w:val="0099469F"/>
    <w:rsid w:val="00995ADF"/>
    <w:rsid w:val="00997782"/>
    <w:rsid w:val="009A37A7"/>
    <w:rsid w:val="009A405F"/>
    <w:rsid w:val="009A55B8"/>
    <w:rsid w:val="009B52D7"/>
    <w:rsid w:val="009D57CB"/>
    <w:rsid w:val="009D7D2C"/>
    <w:rsid w:val="009E5236"/>
    <w:rsid w:val="009F1BAA"/>
    <w:rsid w:val="00A031FD"/>
    <w:rsid w:val="00A134D2"/>
    <w:rsid w:val="00A14928"/>
    <w:rsid w:val="00A15F84"/>
    <w:rsid w:val="00A21873"/>
    <w:rsid w:val="00A232A5"/>
    <w:rsid w:val="00A31A1D"/>
    <w:rsid w:val="00A323F3"/>
    <w:rsid w:val="00A33FD3"/>
    <w:rsid w:val="00A40205"/>
    <w:rsid w:val="00A51AC0"/>
    <w:rsid w:val="00A52EAA"/>
    <w:rsid w:val="00A72561"/>
    <w:rsid w:val="00A7351E"/>
    <w:rsid w:val="00A806DE"/>
    <w:rsid w:val="00A879B2"/>
    <w:rsid w:val="00A93910"/>
    <w:rsid w:val="00AA10EC"/>
    <w:rsid w:val="00AA23EB"/>
    <w:rsid w:val="00AA7856"/>
    <w:rsid w:val="00AA7989"/>
    <w:rsid w:val="00AB48E1"/>
    <w:rsid w:val="00AB4DA3"/>
    <w:rsid w:val="00AC1BD9"/>
    <w:rsid w:val="00AC311B"/>
    <w:rsid w:val="00AC6FCE"/>
    <w:rsid w:val="00AF6112"/>
    <w:rsid w:val="00B0258E"/>
    <w:rsid w:val="00B03CF7"/>
    <w:rsid w:val="00B03E80"/>
    <w:rsid w:val="00B15C0E"/>
    <w:rsid w:val="00B166DC"/>
    <w:rsid w:val="00B17E96"/>
    <w:rsid w:val="00B2359F"/>
    <w:rsid w:val="00B342C8"/>
    <w:rsid w:val="00B423DA"/>
    <w:rsid w:val="00B72AD1"/>
    <w:rsid w:val="00B74BD4"/>
    <w:rsid w:val="00B74F8E"/>
    <w:rsid w:val="00B867CC"/>
    <w:rsid w:val="00B869D8"/>
    <w:rsid w:val="00B87B71"/>
    <w:rsid w:val="00B910FF"/>
    <w:rsid w:val="00B912FC"/>
    <w:rsid w:val="00B93439"/>
    <w:rsid w:val="00B96E86"/>
    <w:rsid w:val="00BA186A"/>
    <w:rsid w:val="00BA569F"/>
    <w:rsid w:val="00BA7E9E"/>
    <w:rsid w:val="00BB72BB"/>
    <w:rsid w:val="00BD5F41"/>
    <w:rsid w:val="00BF0959"/>
    <w:rsid w:val="00BF65FA"/>
    <w:rsid w:val="00C04743"/>
    <w:rsid w:val="00C1253A"/>
    <w:rsid w:val="00C164BB"/>
    <w:rsid w:val="00C17602"/>
    <w:rsid w:val="00C272BE"/>
    <w:rsid w:val="00C31AF7"/>
    <w:rsid w:val="00C31F81"/>
    <w:rsid w:val="00C32FDF"/>
    <w:rsid w:val="00C568B4"/>
    <w:rsid w:val="00C64E5A"/>
    <w:rsid w:val="00C715D3"/>
    <w:rsid w:val="00C722F8"/>
    <w:rsid w:val="00C75135"/>
    <w:rsid w:val="00C92715"/>
    <w:rsid w:val="00CB05A4"/>
    <w:rsid w:val="00CB3440"/>
    <w:rsid w:val="00CC260C"/>
    <w:rsid w:val="00CC45DA"/>
    <w:rsid w:val="00CC7E8C"/>
    <w:rsid w:val="00CD11C9"/>
    <w:rsid w:val="00CD353B"/>
    <w:rsid w:val="00CD38B5"/>
    <w:rsid w:val="00CD6298"/>
    <w:rsid w:val="00CF205E"/>
    <w:rsid w:val="00CF22DD"/>
    <w:rsid w:val="00CF6DE4"/>
    <w:rsid w:val="00D21DF5"/>
    <w:rsid w:val="00D41764"/>
    <w:rsid w:val="00D47D93"/>
    <w:rsid w:val="00D47F78"/>
    <w:rsid w:val="00D62D7D"/>
    <w:rsid w:val="00D63541"/>
    <w:rsid w:val="00D6469C"/>
    <w:rsid w:val="00D77FB5"/>
    <w:rsid w:val="00D80507"/>
    <w:rsid w:val="00D82747"/>
    <w:rsid w:val="00D83A8E"/>
    <w:rsid w:val="00D85DFB"/>
    <w:rsid w:val="00D910DC"/>
    <w:rsid w:val="00DA16C2"/>
    <w:rsid w:val="00DA243B"/>
    <w:rsid w:val="00DA70C8"/>
    <w:rsid w:val="00DB6E4D"/>
    <w:rsid w:val="00DC5DA4"/>
    <w:rsid w:val="00DF2590"/>
    <w:rsid w:val="00DF66F9"/>
    <w:rsid w:val="00DF6B08"/>
    <w:rsid w:val="00E16835"/>
    <w:rsid w:val="00E67C9A"/>
    <w:rsid w:val="00E933DB"/>
    <w:rsid w:val="00E9411C"/>
    <w:rsid w:val="00E952D6"/>
    <w:rsid w:val="00EA1201"/>
    <w:rsid w:val="00EB09DB"/>
    <w:rsid w:val="00EC614B"/>
    <w:rsid w:val="00ED1080"/>
    <w:rsid w:val="00F01DC2"/>
    <w:rsid w:val="00F07628"/>
    <w:rsid w:val="00F230C4"/>
    <w:rsid w:val="00F27033"/>
    <w:rsid w:val="00F33A03"/>
    <w:rsid w:val="00F446E4"/>
    <w:rsid w:val="00F44A62"/>
    <w:rsid w:val="00F50228"/>
    <w:rsid w:val="00F53A42"/>
    <w:rsid w:val="00F608B4"/>
    <w:rsid w:val="00F71CAC"/>
    <w:rsid w:val="00F838F7"/>
    <w:rsid w:val="00F87650"/>
    <w:rsid w:val="00FA461F"/>
    <w:rsid w:val="00FC4485"/>
    <w:rsid w:val="00FD1A3D"/>
    <w:rsid w:val="00FE6827"/>
    <w:rsid w:val="00FF0330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A681"/>
  <w15:chartTrackingRefBased/>
  <w15:docId w15:val="{DDFB3F94-AD25-4CF9-A1CA-C0C7CA5B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B2"/>
    <w:pPr>
      <w:ind w:left="720"/>
      <w:contextualSpacing/>
    </w:pPr>
  </w:style>
  <w:style w:type="table" w:styleId="TableGrid">
    <w:name w:val="Table Grid"/>
    <w:basedOn w:val="TableNormal"/>
    <w:uiPriority w:val="59"/>
    <w:rsid w:val="0030602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D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2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14118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Deatherage, Christy (VMNH)</dc:creator>
  <cp:keywords/>
  <dc:description/>
  <cp:lastModifiedBy>Deatherage, Christy (VMNH)</cp:lastModifiedBy>
  <cp:revision>364</cp:revision>
  <cp:lastPrinted>2020-06-15T16:51:00Z</cp:lastPrinted>
  <dcterms:created xsi:type="dcterms:W3CDTF">2017-10-11T17:34:00Z</dcterms:created>
  <dcterms:modified xsi:type="dcterms:W3CDTF">2021-11-22T15:50:00Z</dcterms:modified>
</cp:coreProperties>
</file>